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EF19990" w14:textId="77777777" w:rsidR="00510CF6" w:rsidRDefault="00510CF6">
      <w:pPr>
        <w:shd w:val="clear" w:color="auto" w:fill="FFFFFF"/>
        <w:jc w:val="center"/>
        <w:rPr>
          <w:rFonts w:ascii="Calibri" w:eastAsia="Calibri" w:hAnsi="Calibri" w:cs="Calibri"/>
          <w:b/>
          <w:smallCaps/>
          <w:sz w:val="20"/>
          <w:szCs w:val="20"/>
        </w:rPr>
      </w:pPr>
      <w:bookmarkStart w:id="0" w:name="_heading=h.gjdgxs" w:colFirst="0" w:colLast="0"/>
      <w:bookmarkEnd w:id="0"/>
    </w:p>
    <w:p w14:paraId="031BC604" w14:textId="77777777" w:rsidR="00510CF6" w:rsidRDefault="00510CF6">
      <w:pPr>
        <w:shd w:val="clear" w:color="auto" w:fill="FFFFFF"/>
        <w:jc w:val="center"/>
        <w:rPr>
          <w:rFonts w:ascii="Calibri" w:eastAsia="Calibri" w:hAnsi="Calibri" w:cs="Calibri"/>
          <w:b/>
          <w:smallCaps/>
          <w:sz w:val="20"/>
          <w:szCs w:val="20"/>
        </w:rPr>
      </w:pPr>
    </w:p>
    <w:p w14:paraId="5B8845DE" w14:textId="77777777" w:rsidR="00510CF6" w:rsidRDefault="00510CF6">
      <w:pPr>
        <w:shd w:val="clear" w:color="auto" w:fill="FFFFFF"/>
        <w:jc w:val="center"/>
        <w:rPr>
          <w:rFonts w:ascii="Calibri" w:eastAsia="Calibri" w:hAnsi="Calibri" w:cs="Calibri"/>
          <w:b/>
          <w:smallCaps/>
          <w:sz w:val="20"/>
          <w:szCs w:val="20"/>
        </w:rPr>
      </w:pPr>
    </w:p>
    <w:p w14:paraId="15ED3B42" w14:textId="77777777" w:rsidR="00510CF6" w:rsidRDefault="00510CF6">
      <w:pPr>
        <w:shd w:val="clear" w:color="auto" w:fill="FFFFFF"/>
        <w:jc w:val="center"/>
        <w:rPr>
          <w:rFonts w:ascii="Calibri" w:eastAsia="Calibri" w:hAnsi="Calibri" w:cs="Calibri"/>
          <w:b/>
          <w:smallCaps/>
          <w:sz w:val="20"/>
          <w:szCs w:val="20"/>
        </w:rPr>
      </w:pPr>
    </w:p>
    <w:p w14:paraId="490702C8" w14:textId="77777777" w:rsidR="00510CF6" w:rsidRDefault="00510CF6">
      <w:pPr>
        <w:jc w:val="both"/>
        <w:rPr>
          <w:rFonts w:ascii="Calibri" w:eastAsia="Calibri" w:hAnsi="Calibri" w:cs="Calibri"/>
          <w:b/>
          <w:smallCaps/>
          <w:sz w:val="20"/>
          <w:szCs w:val="20"/>
        </w:rPr>
      </w:pPr>
    </w:p>
    <w:p w14:paraId="1CDF4FFB" w14:textId="77777777" w:rsidR="00510CF6" w:rsidRDefault="00510CF6">
      <w:pPr>
        <w:jc w:val="both"/>
        <w:rPr>
          <w:rFonts w:ascii="Calibri" w:eastAsia="Calibri" w:hAnsi="Calibri" w:cs="Calibri"/>
          <w:sz w:val="20"/>
          <w:szCs w:val="20"/>
        </w:rPr>
      </w:pPr>
    </w:p>
    <w:p w14:paraId="3E0C2201" w14:textId="4D131187" w:rsidR="00510CF6" w:rsidRDefault="00844A39">
      <w:p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Abstract max. 400 words (Calibri 10) for text only (</w:t>
      </w:r>
      <w:r w:rsidRPr="009F55C8">
        <w:rPr>
          <w:rFonts w:ascii="Calibri" w:eastAsia="Calibri" w:hAnsi="Calibri" w:cs="Calibri"/>
          <w:b/>
          <w:bCs/>
          <w:sz w:val="20"/>
          <w:szCs w:val="20"/>
          <w:u w:val="single"/>
        </w:rPr>
        <w:t>excluding images</w:t>
      </w:r>
      <w:r w:rsidR="003E171A">
        <w:rPr>
          <w:rFonts w:ascii="Calibri" w:eastAsia="Calibri" w:hAnsi="Calibri" w:cs="Calibri"/>
          <w:sz w:val="20"/>
          <w:szCs w:val="20"/>
        </w:rPr>
        <w:t xml:space="preserve"> but </w:t>
      </w:r>
      <w:r w:rsidR="003E171A" w:rsidRPr="009F55C8">
        <w:rPr>
          <w:rFonts w:ascii="Calibri" w:eastAsia="Calibri" w:hAnsi="Calibri" w:cs="Calibri"/>
          <w:b/>
          <w:bCs/>
          <w:sz w:val="20"/>
          <w:szCs w:val="20"/>
        </w:rPr>
        <w:t>including description</w:t>
      </w:r>
      <w:r w:rsidR="009F55C8">
        <w:rPr>
          <w:rFonts w:ascii="Calibri" w:eastAsia="Calibri" w:hAnsi="Calibri" w:cs="Calibri"/>
          <w:b/>
          <w:bCs/>
          <w:sz w:val="20"/>
          <w:szCs w:val="20"/>
        </w:rPr>
        <w:t>/comment</w:t>
      </w:r>
      <w:r w:rsidR="003E171A">
        <w:rPr>
          <w:rFonts w:ascii="Calibri" w:eastAsia="Calibri" w:hAnsi="Calibri" w:cs="Calibri"/>
          <w:sz w:val="20"/>
          <w:szCs w:val="20"/>
        </w:rPr>
        <w:t xml:space="preserve"> of the figure</w:t>
      </w:r>
      <w:r w:rsidR="00E52C40">
        <w:rPr>
          <w:rFonts w:ascii="Calibri" w:eastAsia="Calibri" w:hAnsi="Calibri" w:cs="Calibri"/>
          <w:sz w:val="20"/>
          <w:szCs w:val="20"/>
        </w:rPr>
        <w:t xml:space="preserve"> if there is any</w:t>
      </w:r>
      <w:r>
        <w:rPr>
          <w:rFonts w:ascii="Calibri" w:eastAsia="Calibri" w:hAnsi="Calibri" w:cs="Calibri"/>
          <w:sz w:val="20"/>
          <w:szCs w:val="20"/>
        </w:rPr>
        <w:t>).</w:t>
      </w:r>
    </w:p>
    <w:p w14:paraId="728167B0" w14:textId="77777777" w:rsidR="00510CF6" w:rsidRDefault="00510CF6">
      <w:pPr>
        <w:jc w:val="both"/>
        <w:rPr>
          <w:rFonts w:ascii="Calibri" w:eastAsia="Calibri" w:hAnsi="Calibri" w:cs="Calibri"/>
          <w:sz w:val="20"/>
          <w:szCs w:val="20"/>
        </w:rPr>
      </w:pPr>
    </w:p>
    <w:p w14:paraId="6973B748" w14:textId="77777777" w:rsidR="00510CF6" w:rsidRDefault="00844A39">
      <w:pPr>
        <w:jc w:val="both"/>
        <w:rPr>
          <w:rFonts w:ascii="Calibri" w:eastAsia="Calibri" w:hAnsi="Calibri" w:cs="Calibri"/>
          <w:sz w:val="20"/>
          <w:szCs w:val="20"/>
        </w:rPr>
      </w:pPr>
      <w:proofErr w:type="gramStart"/>
      <w:r>
        <w:rPr>
          <w:rFonts w:ascii="Calibri" w:eastAsia="Calibri" w:hAnsi="Calibri" w:cs="Calibri"/>
          <w:sz w:val="20"/>
          <w:szCs w:val="20"/>
        </w:rPr>
        <w:t>One page</w:t>
      </w:r>
      <w:proofErr w:type="gramEnd"/>
      <w:r>
        <w:rPr>
          <w:rFonts w:ascii="Calibri" w:eastAsia="Calibri" w:hAnsi="Calibri" w:cs="Calibri"/>
          <w:sz w:val="20"/>
          <w:szCs w:val="20"/>
        </w:rPr>
        <w:t xml:space="preserve"> A4 maximum. </w:t>
      </w:r>
    </w:p>
    <w:p w14:paraId="174B382D" w14:textId="77777777" w:rsidR="00510CF6" w:rsidRDefault="00510CF6">
      <w:pPr>
        <w:jc w:val="both"/>
        <w:rPr>
          <w:rFonts w:ascii="Calibri" w:eastAsia="Calibri" w:hAnsi="Calibri" w:cs="Calibri"/>
          <w:sz w:val="20"/>
          <w:szCs w:val="20"/>
        </w:rPr>
      </w:pPr>
    </w:p>
    <w:p w14:paraId="3BB6C2DB" w14:textId="77777777" w:rsidR="00510CF6" w:rsidRDefault="00844A39">
      <w:p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See the example below.</w:t>
      </w:r>
    </w:p>
    <w:p w14:paraId="6D5E2159" w14:textId="77777777" w:rsidR="00510CF6" w:rsidRDefault="00510CF6">
      <w:pPr>
        <w:jc w:val="both"/>
        <w:rPr>
          <w:rFonts w:ascii="Calibri" w:eastAsia="Calibri" w:hAnsi="Calibri" w:cs="Calibri"/>
          <w:sz w:val="20"/>
          <w:szCs w:val="20"/>
        </w:rPr>
      </w:pPr>
    </w:p>
    <w:p w14:paraId="4F3252B6" w14:textId="77777777" w:rsidR="00510CF6" w:rsidRDefault="00510CF6">
      <w:pPr>
        <w:jc w:val="both"/>
        <w:rPr>
          <w:rFonts w:ascii="Calibri" w:eastAsia="Calibri" w:hAnsi="Calibri" w:cs="Calibri"/>
          <w:sz w:val="20"/>
          <w:szCs w:val="20"/>
        </w:rPr>
      </w:pPr>
    </w:p>
    <w:p w14:paraId="589BE1DD" w14:textId="77777777" w:rsidR="00510CF6" w:rsidRDefault="00510CF6">
      <w:pPr>
        <w:jc w:val="both"/>
        <w:rPr>
          <w:rFonts w:ascii="Calibri" w:eastAsia="Calibri" w:hAnsi="Calibri" w:cs="Calibri"/>
          <w:sz w:val="20"/>
          <w:szCs w:val="20"/>
        </w:rPr>
        <w:sectPr w:rsidR="00510CF6">
          <w:headerReference w:type="default" r:id="rId7"/>
          <w:footerReference w:type="default" r:id="rId8"/>
          <w:pgSz w:w="11905" w:h="16837"/>
          <w:pgMar w:top="1417" w:right="1417" w:bottom="1417" w:left="1417" w:header="708" w:footer="708" w:gutter="0"/>
          <w:pgNumType w:start="1"/>
          <w:cols w:space="720"/>
        </w:sectPr>
      </w:pPr>
    </w:p>
    <w:p w14:paraId="6F34BBA4" w14:textId="77777777" w:rsidR="00510CF6" w:rsidRDefault="00510CF6">
      <w:pPr>
        <w:shd w:val="clear" w:color="auto" w:fill="FFFFFF"/>
        <w:jc w:val="center"/>
        <w:rPr>
          <w:rFonts w:ascii="Calibri" w:eastAsia="Calibri" w:hAnsi="Calibri" w:cs="Calibri"/>
          <w:b/>
          <w:smallCaps/>
          <w:sz w:val="20"/>
          <w:szCs w:val="20"/>
        </w:rPr>
      </w:pPr>
    </w:p>
    <w:p w14:paraId="4CBD5F90" w14:textId="77777777" w:rsidR="00510CF6" w:rsidRPr="003E171A" w:rsidRDefault="00510CF6">
      <w:pPr>
        <w:spacing w:before="240" w:after="240"/>
        <w:rPr>
          <w:rFonts w:ascii="Calibri" w:eastAsia="Calibri" w:hAnsi="Calibri" w:cs="Calibri"/>
          <w:b/>
          <w:sz w:val="22"/>
          <w:szCs w:val="22"/>
        </w:rPr>
      </w:pPr>
    </w:p>
    <w:p w14:paraId="1807E6BD" w14:textId="77777777" w:rsidR="00510CF6" w:rsidRPr="003E171A" w:rsidRDefault="00510CF6">
      <w:pPr>
        <w:jc w:val="center"/>
        <w:rPr>
          <w:rFonts w:ascii="Calibri" w:eastAsia="Calibri" w:hAnsi="Calibri" w:cs="Calibri"/>
          <w:b/>
          <w:smallCaps/>
          <w:sz w:val="20"/>
          <w:szCs w:val="20"/>
        </w:rPr>
      </w:pPr>
    </w:p>
    <w:p w14:paraId="753CFE69" w14:textId="77777777" w:rsidR="00510CF6" w:rsidRDefault="00510CF6">
      <w:pPr>
        <w:jc w:val="both"/>
        <w:rPr>
          <w:rFonts w:ascii="Calibri" w:eastAsia="Calibri" w:hAnsi="Calibri" w:cs="Calibri"/>
          <w:i/>
          <w:vertAlign w:val="superscript"/>
        </w:rPr>
      </w:pPr>
    </w:p>
    <w:p w14:paraId="3FF8EC05" w14:textId="77777777" w:rsidR="00510CF6" w:rsidRDefault="00510CF6">
      <w:pPr>
        <w:jc w:val="both"/>
        <w:rPr>
          <w:rFonts w:ascii="Calibri" w:eastAsia="Calibri" w:hAnsi="Calibri" w:cs="Calibri"/>
        </w:rPr>
      </w:pPr>
    </w:p>
    <w:p w14:paraId="4B83489E" w14:textId="77777777" w:rsidR="00510CF6" w:rsidRDefault="00844A39">
      <w:pPr>
        <w:jc w:val="both"/>
        <w:rPr>
          <w:rFonts w:ascii="Calibri" w:eastAsia="Calibri" w:hAnsi="Calibri" w:cs="Calibri"/>
          <w:sz w:val="20"/>
          <w:szCs w:val="20"/>
          <w:highlight w:val="white"/>
        </w:rPr>
      </w:pPr>
      <w:r>
        <w:rPr>
          <w:rFonts w:ascii="Calibri" w:eastAsia="Calibri" w:hAnsi="Calibri" w:cs="Calibri"/>
          <w:sz w:val="20"/>
          <w:szCs w:val="20"/>
          <w:highlight w:val="white"/>
        </w:rPr>
        <w:t>The European Green Deal policy ambitions set out in the Chemicals Strategy for Sustainability and the Zero Pollution Action Plan identify the transition to a Safe and Sustainable by Design (</w:t>
      </w:r>
      <w:proofErr w:type="spellStart"/>
      <w:r>
        <w:rPr>
          <w:rFonts w:ascii="Calibri" w:eastAsia="Calibri" w:hAnsi="Calibri" w:cs="Calibri"/>
          <w:sz w:val="20"/>
          <w:szCs w:val="20"/>
          <w:highlight w:val="white"/>
        </w:rPr>
        <w:t>SSbD</w:t>
      </w:r>
      <w:proofErr w:type="spellEnd"/>
      <w:r>
        <w:rPr>
          <w:rFonts w:ascii="Calibri" w:eastAsia="Calibri" w:hAnsi="Calibri" w:cs="Calibri"/>
          <w:sz w:val="20"/>
          <w:szCs w:val="20"/>
          <w:highlight w:val="white"/>
        </w:rPr>
        <w:t xml:space="preserve">) approach to chemicals and materials. The H2020 SUNSHINE project has developed an approach to operationalize </w:t>
      </w:r>
      <w:proofErr w:type="spellStart"/>
      <w:r>
        <w:rPr>
          <w:rFonts w:ascii="Calibri" w:eastAsia="Calibri" w:hAnsi="Calibri" w:cs="Calibri"/>
          <w:sz w:val="20"/>
          <w:szCs w:val="20"/>
          <w:highlight w:val="white"/>
        </w:rPr>
        <w:t>SSbD</w:t>
      </w:r>
      <w:proofErr w:type="spellEnd"/>
      <w:r>
        <w:rPr>
          <w:rFonts w:ascii="Calibri" w:eastAsia="Calibri" w:hAnsi="Calibri" w:cs="Calibri"/>
          <w:sz w:val="20"/>
          <w:szCs w:val="20"/>
          <w:highlight w:val="white"/>
        </w:rPr>
        <w:t>, specifically addressing multi-component nanomaterials (MCNMs), and applied it to two case studies. This approach enables assessment of safety and sustainability aspects at each stage of product development from a lifecycle perspective. This is achieved via a tiered approach that uses qualitative (Tier 1), semi-quantitative (Tier 2) and quantitative (Tier 3) assessment methods. The present work focuses on the Tier 1 (self-assessment) methodology designed to evaluate the safety, functionality and sustainability in the early R&amp;D stages of the lifecycle of chemicals and materials. This approach was developed to be implementable by industries in a straightforward manner as often there is lack of time and/or expertise to engage in resource-intensive safety and sustainability evaluations. The approach was tested using two real industrial case studies, namely nano-enabled PFAS (Polyfluoroalkyl substances)-free anti-sticking coating for bakery molds, and nano-drops of essential oil anchored to the surface of nano clays and encapsulated in a polymeric film. The results indicate that these innovative materials have a high probability to have better safety, functionality and sustainability performance compared to conventional benchmark materials.</w:t>
      </w:r>
    </w:p>
    <w:p w14:paraId="0685B636" w14:textId="77777777" w:rsidR="00510CF6" w:rsidRDefault="00510CF6">
      <w:pPr>
        <w:jc w:val="both"/>
        <w:rPr>
          <w:rFonts w:ascii="Calibri" w:eastAsia="Calibri" w:hAnsi="Calibri" w:cs="Calibri"/>
          <w:color w:val="565654"/>
          <w:sz w:val="20"/>
          <w:szCs w:val="20"/>
          <w:highlight w:val="white"/>
        </w:rPr>
      </w:pPr>
    </w:p>
    <w:p w14:paraId="52ABDCCE" w14:textId="77777777" w:rsidR="00510CF6" w:rsidRDefault="00844A39">
      <w:pPr>
        <w:jc w:val="both"/>
        <w:rPr>
          <w:rFonts w:ascii="Calibri" w:eastAsia="Calibri" w:hAnsi="Calibri" w:cs="Calibri"/>
          <w:color w:val="565654"/>
          <w:sz w:val="20"/>
          <w:szCs w:val="20"/>
          <w:highlight w:val="white"/>
        </w:rPr>
      </w:pPr>
      <w:r>
        <w:rPr>
          <w:rFonts w:ascii="Calibri" w:eastAsia="Calibri" w:hAnsi="Calibri" w:cs="Calibri"/>
          <w:noProof/>
          <w:color w:val="565654"/>
          <w:sz w:val="20"/>
          <w:szCs w:val="20"/>
          <w:highlight w:val="white"/>
        </w:rPr>
        <w:drawing>
          <wp:inline distT="114300" distB="114300" distL="114300" distR="114300" wp14:anchorId="638827D0" wp14:editId="796C4AC6">
            <wp:extent cx="4782116" cy="2466149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82116" cy="246614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642A49A" w14:textId="77777777" w:rsidR="00510CF6" w:rsidRDefault="00844A39">
      <w:p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 </w:t>
      </w:r>
    </w:p>
    <w:p w14:paraId="65B172A6" w14:textId="77777777" w:rsidR="00510CF6" w:rsidRDefault="00844A39">
      <w:pPr>
        <w:jc w:val="both"/>
        <w:rPr>
          <w:rFonts w:ascii="Calibri" w:eastAsia="Calibri" w:hAnsi="Calibri" w:cs="Calibri"/>
          <w:i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 xml:space="preserve">Figure: </w:t>
      </w:r>
      <w:proofErr w:type="spellStart"/>
      <w:r>
        <w:rPr>
          <w:rFonts w:ascii="Calibri" w:eastAsia="Calibri" w:hAnsi="Calibri" w:cs="Calibri"/>
          <w:i/>
          <w:color w:val="1F1F1F"/>
          <w:sz w:val="20"/>
          <w:szCs w:val="20"/>
        </w:rPr>
        <w:t>SSbD</w:t>
      </w:r>
      <w:proofErr w:type="spellEnd"/>
      <w:r>
        <w:rPr>
          <w:rFonts w:ascii="Calibri" w:eastAsia="Calibri" w:hAnsi="Calibri" w:cs="Calibri"/>
          <w:i/>
          <w:color w:val="1F1F1F"/>
          <w:sz w:val="20"/>
          <w:szCs w:val="20"/>
        </w:rPr>
        <w:t xml:space="preserve"> tiered assessment proposed in the SUNSHINE project. ‘Level of applicability’ means at which gate of the stage-gate the approach can be applied.</w:t>
      </w:r>
    </w:p>
    <w:sectPr w:rsidR="00510CF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5" w:h="16837"/>
      <w:pgMar w:top="1417" w:right="1417" w:bottom="1417" w:left="1417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73747" w14:textId="77777777" w:rsidR="00844A39" w:rsidRDefault="00844A39">
      <w:r>
        <w:separator/>
      </w:r>
    </w:p>
  </w:endnote>
  <w:endnote w:type="continuationSeparator" w:id="0">
    <w:p w14:paraId="59ECE69F" w14:textId="77777777" w:rsidR="00844A39" w:rsidRDefault="00844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B8111" w14:textId="77777777" w:rsidR="00510CF6" w:rsidRDefault="00510CF6">
    <w:pPr>
      <w:spacing w:before="240" w:after="240"/>
      <w:rPr>
        <w:rFonts w:ascii="Calibri" w:eastAsia="Calibri" w:hAnsi="Calibri" w:cs="Calibri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08296" w14:textId="77777777" w:rsidR="00510CF6" w:rsidRDefault="00510CF6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F1807" w14:textId="77777777" w:rsidR="00510CF6" w:rsidRDefault="00510CF6">
    <w:pPr>
      <w:shd w:val="clear" w:color="auto" w:fill="FFFFFF"/>
      <w:rPr>
        <w:rFonts w:ascii="Calibri" w:eastAsia="Calibri" w:hAnsi="Calibri" w:cs="Calibri"/>
        <w:smallCaps/>
        <w:sz w:val="18"/>
        <w:szCs w:val="18"/>
      </w:rPr>
    </w:pPr>
  </w:p>
  <w:p w14:paraId="54496E21" w14:textId="77777777" w:rsidR="00510CF6" w:rsidRDefault="00510CF6">
    <w:pPr>
      <w:shd w:val="clear" w:color="auto" w:fill="FFFFFF"/>
      <w:rPr>
        <w:rFonts w:ascii="Calibri" w:eastAsia="Calibri" w:hAnsi="Calibri" w:cs="Calibri"/>
        <w:smallCaps/>
        <w:sz w:val="18"/>
        <w:szCs w:val="18"/>
      </w:rPr>
    </w:pPr>
  </w:p>
  <w:p w14:paraId="2012BA90" w14:textId="77777777" w:rsidR="00510CF6" w:rsidRDefault="00510CF6">
    <w:pPr>
      <w:shd w:val="clear" w:color="auto" w:fill="FFFFFF"/>
      <w:rPr>
        <w:rFonts w:ascii="Calibri" w:eastAsia="Calibri" w:hAnsi="Calibri" w:cs="Calibri"/>
        <w:smallCaps/>
        <w:sz w:val="18"/>
        <w:szCs w:val="18"/>
      </w:rPr>
    </w:pPr>
  </w:p>
  <w:p w14:paraId="098BE03C" w14:textId="77777777" w:rsidR="00510CF6" w:rsidRDefault="00510CF6">
    <w:pPr>
      <w:spacing w:before="240" w:after="240"/>
      <w:rPr>
        <w:rFonts w:ascii="Calibri" w:eastAsia="Calibri" w:hAnsi="Calibri" w:cs="Calibri"/>
        <w:b/>
        <w:smallCaps/>
        <w:sz w:val="18"/>
        <w:szCs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9BC58" w14:textId="77777777" w:rsidR="00510CF6" w:rsidRDefault="00510CF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D3268" w14:textId="77777777" w:rsidR="00844A39" w:rsidRDefault="00844A39">
      <w:r>
        <w:separator/>
      </w:r>
    </w:p>
  </w:footnote>
  <w:footnote w:type="continuationSeparator" w:id="0">
    <w:p w14:paraId="2B363975" w14:textId="77777777" w:rsidR="00844A39" w:rsidRDefault="00844A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DC4A4" w14:textId="77777777" w:rsidR="00510CF6" w:rsidRDefault="00844A3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rFonts w:ascii="Calibri" w:eastAsia="Calibri" w:hAnsi="Calibri" w:cs="Calibri"/>
        <w:b/>
        <w:sz w:val="22"/>
        <w:szCs w:val="22"/>
      </w:rPr>
    </w:pPr>
    <w:r>
      <w:rPr>
        <w:rFonts w:ascii="Calibri" w:eastAsia="Calibri" w:hAnsi="Calibri" w:cs="Calibri"/>
        <w:b/>
        <w:sz w:val="22"/>
        <w:szCs w:val="22"/>
      </w:rPr>
      <w:t>NANOTOX 2024</w:t>
    </w:r>
  </w:p>
  <w:p w14:paraId="790D804C" w14:textId="77777777" w:rsidR="00510CF6" w:rsidRDefault="00844A3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rFonts w:ascii="Calibri" w:eastAsia="Calibri" w:hAnsi="Calibri" w:cs="Calibri"/>
        <w:b/>
        <w:sz w:val="22"/>
        <w:szCs w:val="22"/>
      </w:rPr>
    </w:pPr>
    <w:r>
      <w:rPr>
        <w:rFonts w:ascii="Calibri" w:eastAsia="Calibri" w:hAnsi="Calibri" w:cs="Calibri"/>
        <w:b/>
        <w:sz w:val="22"/>
        <w:szCs w:val="22"/>
        <w:highlight w:val="white"/>
      </w:rPr>
      <w:t>23 - 25 September, Venice, Italy</w:t>
    </w:r>
  </w:p>
  <w:p w14:paraId="15FFD0B5" w14:textId="77777777" w:rsidR="00510CF6" w:rsidRDefault="00510CF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F746A" w14:textId="77777777" w:rsidR="00510CF6" w:rsidRDefault="00510CF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DE02C" w14:textId="77777777" w:rsidR="00510CF6" w:rsidRDefault="00844A39">
    <w:pPr>
      <w:tabs>
        <w:tab w:val="center" w:pos="4536"/>
        <w:tab w:val="right" w:pos="9072"/>
      </w:tabs>
      <w:jc w:val="center"/>
      <w:rPr>
        <w:rFonts w:ascii="Calibri" w:eastAsia="Calibri" w:hAnsi="Calibri" w:cs="Calibri"/>
        <w:b/>
        <w:sz w:val="22"/>
        <w:szCs w:val="22"/>
      </w:rPr>
    </w:pPr>
    <w:r>
      <w:rPr>
        <w:rFonts w:ascii="Calibri" w:eastAsia="Calibri" w:hAnsi="Calibri" w:cs="Calibri"/>
        <w:b/>
        <w:sz w:val="22"/>
        <w:szCs w:val="22"/>
      </w:rPr>
      <w:t>NANOTOX 2024</w:t>
    </w:r>
  </w:p>
  <w:p w14:paraId="129DCE15" w14:textId="77777777" w:rsidR="00510CF6" w:rsidRDefault="00844A39">
    <w:pPr>
      <w:tabs>
        <w:tab w:val="center" w:pos="4536"/>
        <w:tab w:val="right" w:pos="9072"/>
      </w:tabs>
      <w:jc w:val="center"/>
      <w:rPr>
        <w:rFonts w:ascii="Calibri" w:eastAsia="Calibri" w:hAnsi="Calibri" w:cs="Calibri"/>
        <w:b/>
        <w:sz w:val="22"/>
        <w:szCs w:val="22"/>
      </w:rPr>
    </w:pPr>
    <w:r>
      <w:rPr>
        <w:rFonts w:ascii="Calibri" w:eastAsia="Calibri" w:hAnsi="Calibri" w:cs="Calibri"/>
        <w:b/>
        <w:sz w:val="22"/>
        <w:szCs w:val="22"/>
        <w:highlight w:val="white"/>
      </w:rPr>
      <w:t>23 - 25 September, Venice, Italy</w:t>
    </w:r>
  </w:p>
  <w:p w14:paraId="4AF7A3CA" w14:textId="77777777" w:rsidR="00510CF6" w:rsidRDefault="00510CF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b/>
        <w:sz w:val="22"/>
        <w:szCs w:val="2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A4113" w14:textId="77777777" w:rsidR="00510CF6" w:rsidRDefault="00510CF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CF6"/>
    <w:rsid w:val="003E171A"/>
    <w:rsid w:val="00510CF6"/>
    <w:rsid w:val="00844A39"/>
    <w:rsid w:val="009F55C8"/>
    <w:rsid w:val="00DE7464"/>
    <w:rsid w:val="00E52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05F14"/>
  <w15:docId w15:val="{8652E5A1-7FE4-4DB8-879D-D8A845078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1.jpg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3/YXxxpHJv+0yygMVV3tYIczeVA==">CgMxLjAyCGguZ2pkZ3hzOAByITFLNDA3Y3RNNjV4ZDJwajE3Q0xFRy1FdUdmd3BjSFJHaA==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287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Stella Menolascina</dc:creator>
  <cp:lastModifiedBy>Stella Menolascina</cp:lastModifiedBy>
  <cp:revision>6</cp:revision>
  <dcterms:created xsi:type="dcterms:W3CDTF">2024-01-23T10:58:00Z</dcterms:created>
  <dcterms:modified xsi:type="dcterms:W3CDTF">2024-01-25T11:58:00Z</dcterms:modified>
</cp:coreProperties>
</file>